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IAM.Bot: техническое приложение для сайта и портала</w:t>
      </w:r>
    </w:p>
    <w:p>
      <w:pPr/>
      <w:r>
        <w:t>Версия: 15 октября 2026 года. Для разработчиков, администраторов и ответственных за приёмку.</w:t>
      </w:r>
    </w:p>
    <w:p>
      <w:pPr>
        <w:pStyle w:val="Heading1"/>
      </w:pPr>
      <w:r>
        <w:t>1. Объём первого этапа</w:t>
      </w:r>
    </w:p>
    <w:p>
      <w:pPr/>
      <w:r>
        <w:t>Публичный сайт: консультант по утверждённым материалам и сбор контактов для менеджера. Личный кабинет: инструкции первой линии, редактируемый черновик и переход в существующую форму поддержки. Используются отдельные кабинеты sales и support.</w:t>
      </w:r>
    </w:p>
    <w:p>
      <w:pPr/>
      <w:r>
        <w:t>Обращение отправляет пользователь через штатную форму. Авторизация, выбранный проект, контакты, вложения, снимок экрана и регистрация в helpdesk остаются в портале. Бот не получает доступ к аккаунту или ресурсам, не отправляет форму и не показывает номер внешнего тикета.</w:t>
      </w:r>
    </w:p>
    <w:p>
      <w:pPr>
        <w:pStyle w:val="Heading1"/>
      </w:pPr>
      <w:r>
        <w:t>2. Что подготовить до установки</w:t>
      </w:r>
    </w:p>
    <w:p>
      <w:pPr>
        <w:pStyle w:val="ListBullet"/>
      </w:pPr>
      <w:r>
        <w:t>Назначьте владельцев продаж, поддержки, технического подключения и beta-приёмки.</w:t>
      </w:r>
    </w:p>
    <w:p>
      <w:pPr>
        <w:pStyle w:val="ListBullet"/>
      </w:pPr>
      <w:r>
        <w:t>Передайте точные HTTPS origins beta и production, включая нестандартный порт. Определите настоящие ссылки или способы открытия обеих форм и согласованную категорию поддержки.</w:t>
      </w:r>
    </w:p>
    <w:p>
      <w:pPr>
        <w:pStyle w:val="ListBullet"/>
      </w:pPr>
      <w:r>
        <w:t>Подготовьте утверждённые знания, границы ответов и правила передачи человеку; определите получателя лидов и рабочий канал уведомлений.</w:t>
      </w:r>
    </w:p>
    <w:p>
      <w:pPr>
        <w:pStyle w:val="ListBullet"/>
      </w:pPr>
      <w:r>
        <w:t>Согласуйте название, приветствие, ссылку на политику и текст подтверждения сообщений. Доступы и ключи настраивайте через кабинет, без передачи секретов в переписке или базе знаний.</w:t>
      </w:r>
    </w:p>
    <w:p>
      <w:pPr>
        <w:pStyle w:val="Heading1"/>
      </w:pPr>
      <w:r>
        <w:t>3. Общая установка и публичный сайт</w:t>
      </w:r>
    </w:p>
    <w:p>
      <w:pPr/>
      <w:r>
        <w:t>1. В «Мои кабинеты» выберите соответствующий кабинет. Настройте «Конфигурация → Промпт», загрузите материалы в RAG и проверьте «Каналы».</w:t>
      </w:r>
    </w:p>
    <w:p>
      <w:pPr/>
      <w:r>
        <w:t>2. В «Конфигурация → Встраивание» задайте оформление, политику, подтверждение и реальную ссылку на форму. При необходимости включите «Отвечать только при найденных материалах». Нажмите «Сохранить и применить».</w:t>
      </w:r>
    </w:p>
    <w:p>
      <w:pPr/>
      <w:r>
        <w:t>3. Зарегистрируйте origin и установите сниппет из нужного кабинета один раз в общем шаблоне. Не используйте примерные slug или адреса. На beta используйте staging-кабинеты и staging endpoints.</w:t>
      </w:r>
    </w:p>
    <w:p>
      <w:pPr/>
      <w:r>
        <w:t>4. Для CSP разрешите выданный SDK origin для widget.js, widget-actions.js, widget.css и bridge в соответствующих script-src/style-src; API и WebSocket — в connect-src. Совместимость nonce и inline styles проверьте на beta, сохраняя политику сайта.</w:t>
      </w:r>
    </w:p>
    <w:p>
      <w:pPr/>
      <w:r>
        <w:t>5. Для продаж проверьте «Связаться с менеджером», сохранение в «Лиды» и фактическую доставку ответственному. Успешное сохранение контакта не подтверждает получение уведомления.</w:t>
      </w:r>
    </w:p>
    <w:p>
      <w:r>
        <w:br w:type="page"/>
      </w:r>
    </w:p>
    <w:p>
      <w:pPr>
        <w:pStyle w:val="Heading1"/>
      </w:pPr>
      <w:r>
        <w:t>4. Требования к интеграции формы поддержки</w:t>
      </w:r>
    </w:p>
    <w:p>
      <w:pPr>
        <w:pStyle w:val="ListBullet"/>
      </w:pPr>
      <w:r>
        <w:t>Установите support-сниппет и support-form-bridge.js с того же SDK origin. После загрузки bridge один раз вызовите IAMBotSupportBridge.install с нужным workspaceSlug и callback openForm(request, { signal }). Пример и JSON Schema v1 находятся в пакете внедрения.</w:t>
      </w:r>
    </w:p>
    <w:p>
      <w:pPr>
        <w:pStyle w:val="ListBullet"/>
      </w:pPr>
      <w:r>
        <w:t>Callback открывает настоящую форму через API портала. Данные пользователя, проекта и контакты определяются текущей авторизованной сессией. Событие iambot:support-request и его slug/session_id не подтверждают личность или права.</w:t>
      </w:r>
    </w:p>
    <w:p>
      <w:pPr>
        <w:pStyle w:val="ListBullet"/>
      </w:pPr>
      <w:r>
        <w:t>Заполняйте только проверенные пользователем тему и сообщение, используя текстовые значения или штатный form state API. Не используйте innerHTML. Не передавайте переписку в query/hash URL.</w:t>
      </w:r>
    </w:p>
    <w:p>
      <w:pPr>
        <w:pStyle w:val="ListBullet"/>
      </w:pPr>
      <w:r>
        <w:t>Если «Тема» является списком категорий, выберите согласованную категорию, а свободный заголовок добавьте в сообщение. Если в форме есть неотправленный текст, предложите объединение, замену или отмену. Не очищайте вложения и снимок экрана.</w:t>
      </w:r>
    </w:p>
    <w:p>
      <w:pPr>
        <w:pStyle w:val="ListBullet"/>
      </w:pPr>
      <w:r>
        <w:t>Возвращайте строго true только после фактического открытия и заполнения формы. Это сворачивает чат и оставляет фокус форме. Не вызывайте submit/requestSubmit: окончательную отправку выполняет пользователь.</w:t>
      </w:r>
    </w:p>
    <w:p>
      <w:pPr>
        <w:pStyle w:val="ListBullet"/>
      </w:pPr>
      <w:r>
        <w:t>После каждого асинхронного ожидания проверяйте signal.aborted и неизменность пользователя/проекта. При отмене, сбросе или таймауте позднее заполнение недопустимо. Таймаут подтверждения — пять секунд.</w:t>
      </w:r>
    </w:p>
    <w:p>
      <w:pPr>
        <w:pStyle w:val="ListBullet"/>
      </w:pPr>
      <w:r>
        <w:t>При logout и смене пользователя/проекта вызывайте window.IAMBotChat?.reset(). Это меняет локальную сессию и очищает видимый чат, очередь и отметку согласия; серверная история не удаляется. При unmount вызывайте возвращённый disconnect().</w:t>
      </w:r>
    </w:p>
    <w:p>
      <w:pPr>
        <w:pStyle w:val="ListBullet"/>
      </w:pPr>
      <w:r>
        <w:t>При ошибке, false или отсутствии подтверждения остаются редактируемый черновик, копирование и прямая ссылка. Сохраните независимый вход в штатную поддержку при отказе модели, сети или виджета.</w:t>
      </w:r>
    </w:p>
    <w:p>
      <w:pPr>
        <w:pStyle w:val="ListBullet"/>
      </w:pPr>
      <w:r>
        <w:t>Начальный вариант без callback допускает консультации, копирование и переход в обычную форму. Автозаполнения в этом варианте нет. Доступ к репозиторию портала команде IAM.Bot не требуется.</w:t>
      </w:r>
    </w:p>
    <w:p>
      <w:r>
        <w:br w:type="page"/>
      </w:r>
    </w:p>
    <w:p>
      <w:pPr>
        <w:pStyle w:val="Heading1"/>
      </w:pPr>
      <w:r>
        <w:t>5. Чек-лист приёмки на beta</w:t>
      </w:r>
    </w:p>
    <w:tbl>
      <w:tblPr>
        <w:tblStyle w:val="LightShading-Accent1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757"/>
        <w:gridCol w:w="7654"/>
      </w:tblGrid>
      <w:tr>
        <w:trPr>
          <w:tblHeader/>
          <w:cantSplit/>
          <w:cantSplit/>
          <w:cantSplit/>
          <w:cantSplit/>
          <w:cantSplit/>
          <w:cantSplit/>
          <w:cantSplit/>
          <w:cantSplit/>
          <w:cantSplit/>
          <w:cantSplit/>
          <w:cantSplit/>
          <w:cantSplit/>
          <w:cantSplit/>
        </w:trPr>
        <w:tc>
          <w:tcPr>
            <w:tcW w:type="dxa" w:w="454"/>
          </w:tcPr>
          <w:p>
            <w:pPr>
              <w:spacing w:after="80" w:before="6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type="dxa" w:w="1757"/>
          </w:tcPr>
          <w:p>
            <w:pPr>
              <w:spacing w:after="80" w:before="60"/>
            </w:pPr>
            <w:r>
              <w:rPr>
                <w:b/>
                <w:sz w:val="18"/>
              </w:rPr>
              <w:t>Проверка</w:t>
            </w:r>
          </w:p>
        </w:tc>
        <w:tc>
          <w:tcPr>
            <w:tcW w:type="dxa" w:w="7654"/>
          </w:tcPr>
          <w:p>
            <w:pPr>
              <w:spacing w:after="80" w:before="60"/>
            </w:pPr>
            <w:r>
              <w:rPr>
                <w:b/>
                <w:sz w:val="18"/>
              </w:rPr>
              <w:t>Критерий приёмки</w:t>
            </w:r>
          </w:p>
        </w:tc>
      </w:tr>
      <w:tr>
        <w:trPr>
          <w:cantSplit/>
          <w:cantSplit/>
          <w:cantSplit/>
          <w:cantSplit/>
          <w:cantSplit/>
          <w:cantSplit/>
          <w:cantSplit/>
          <w:cantSplit/>
          <w:cantSplit/>
          <w:cantSplit/>
          <w:cantSplit/>
          <w:cantSplit/>
        </w:trPr>
        <w:tc>
          <w:tcPr>
            <w:tcW w:type="dxa" w:w="454"/>
          </w:tcPr>
          <w:p>
            <w:pPr>
              <w:spacing w:after="80" w:before="60"/>
            </w:pPr>
            <w:r>
              <w:rPr>
                <w:sz w:val="18"/>
              </w:rPr>
              <w:t>1</w:t>
            </w:r>
          </w:p>
        </w:tc>
        <w:tc>
          <w:tcPr>
            <w:tcW w:type="dxa" w:w="1757"/>
          </w:tcPr>
          <w:p>
            <w:pPr>
              <w:spacing w:after="80" w:before="60"/>
            </w:pPr>
            <w:r>
              <w:rPr>
                <w:sz w:val="18"/>
              </w:rPr>
              <w:t>Кабинеты и домены</w:t>
            </w:r>
          </w:p>
        </w:tc>
        <w:tc>
          <w:tcPr>
            <w:tcW w:type="dxa" w:w="7654"/>
          </w:tcPr>
          <w:p>
            <w:pPr>
              <w:spacing w:after="80" w:before="60"/>
            </w:pPr>
            <w:r>
              <w:rPr>
                <w:sz w:val="18"/>
              </w:rPr>
              <w:t>На каждом сайте свой режим, знания и получатели; чужой origin не получает доступ.</w:t>
            </w:r>
          </w:p>
        </w:tc>
      </w:tr>
      <w:tr>
        <w:trPr>
          <w:cantSplit/>
          <w:cantSplit/>
          <w:cantSplit/>
          <w:cantSplit/>
          <w:cantSplit/>
          <w:cantSplit/>
          <w:cantSplit/>
          <w:cantSplit/>
          <w:cantSplit/>
          <w:cantSplit/>
          <w:cantSplit/>
        </w:trPr>
        <w:tc>
          <w:tcPr>
            <w:tcW w:type="dxa" w:w="454"/>
          </w:tcPr>
          <w:p>
            <w:pPr>
              <w:spacing w:after="80" w:before="60"/>
            </w:pPr>
            <w:r>
              <w:rPr>
                <w:sz w:val="18"/>
              </w:rPr>
              <w:t>2</w:t>
            </w:r>
          </w:p>
        </w:tc>
        <w:tc>
          <w:tcPr>
            <w:tcW w:type="dxa" w:w="1757"/>
          </w:tcPr>
          <w:p>
            <w:pPr>
              <w:spacing w:after="80" w:before="60"/>
            </w:pPr>
            <w:r>
              <w:rPr>
                <w:sz w:val="18"/>
              </w:rPr>
              <w:t>Интерфейс</w:t>
            </w:r>
          </w:p>
        </w:tc>
        <w:tc>
          <w:tcPr>
            <w:tcW w:type="dxa" w:w="7654"/>
          </w:tcPr>
          <w:p>
            <w:pPr>
              <w:spacing w:after="80" w:before="60"/>
            </w:pPr>
            <w:r>
              <w:rPr>
                <w:sz w:val="18"/>
              </w:rPr>
              <w:t>Верные название, приветствие и ссылки; действия доступны на desktop, телефоне и с клавиатуры.</w:t>
            </w:r>
          </w:p>
        </w:tc>
      </w:tr>
      <w:tr>
        <w:trPr>
          <w:cantSplit/>
          <w:cantSplit/>
          <w:cantSplit/>
          <w:cantSplit/>
          <w:cantSplit/>
          <w:cantSplit/>
          <w:cantSplit/>
          <w:cantSplit/>
          <w:cantSplit/>
          <w:cantSplit/>
        </w:trPr>
        <w:tc>
          <w:tcPr>
            <w:tcW w:type="dxa" w:w="454"/>
          </w:tcPr>
          <w:p>
            <w:pPr>
              <w:spacing w:after="80" w:before="60"/>
            </w:pPr>
            <w:r>
              <w:rPr>
                <w:sz w:val="18"/>
              </w:rPr>
              <w:t>3</w:t>
            </w:r>
          </w:p>
        </w:tc>
        <w:tc>
          <w:tcPr>
            <w:tcW w:type="dxa" w:w="1757"/>
          </w:tcPr>
          <w:p>
            <w:pPr>
              <w:spacing w:after="80" w:before="60"/>
            </w:pPr>
            <w:r>
              <w:rPr>
                <w:sz w:val="18"/>
              </w:rPr>
              <w:t>Подтверждение</w:t>
            </w:r>
          </w:p>
        </w:tc>
        <w:tc>
          <w:tcPr>
            <w:tcW w:type="dxa" w:w="7654"/>
          </w:tcPr>
          <w:p>
            <w:pPr>
              <w:spacing w:after="80" w:before="60"/>
            </w:pPr>
            <w:r>
              <w:rPr>
                <w:sz w:val="18"/>
              </w:rPr>
              <w:t>При включённом требовании сообщения и контакты не отправляются до отметки.</w:t>
            </w:r>
          </w:p>
        </w:tc>
      </w:tr>
      <w:tr>
        <w:trPr>
          <w:cantSplit/>
          <w:cantSplit/>
          <w:cantSplit/>
          <w:cantSplit/>
          <w:cantSplit/>
          <w:cantSplit/>
          <w:cantSplit/>
          <w:cantSplit/>
          <w:cantSplit/>
        </w:trPr>
        <w:tc>
          <w:tcPr>
            <w:tcW w:type="dxa" w:w="454"/>
          </w:tcPr>
          <w:p>
            <w:pPr>
              <w:spacing w:after="80" w:before="60"/>
            </w:pPr>
            <w:r>
              <w:rPr>
                <w:sz w:val="18"/>
              </w:rPr>
              <w:t>4</w:t>
            </w:r>
          </w:p>
        </w:tc>
        <w:tc>
          <w:tcPr>
            <w:tcW w:type="dxa" w:w="1757"/>
          </w:tcPr>
          <w:p>
            <w:pPr>
              <w:spacing w:after="80" w:before="60"/>
            </w:pPr>
            <w:r>
              <w:rPr>
                <w:sz w:val="18"/>
              </w:rPr>
              <w:t>Знания</w:t>
            </w:r>
          </w:p>
        </w:tc>
        <w:tc>
          <w:tcPr>
            <w:tcW w:type="dxa" w:w="7654"/>
          </w:tcPr>
          <w:p>
            <w:pPr>
              <w:spacing w:after="80" w:before="60"/>
            </w:pPr>
            <w:r>
              <w:rPr>
                <w:sz w:val="18"/>
              </w:rPr>
              <w:t>Проверены типовые, неизвестные и противоречивые вопросы; при недостатке данных доступен человек, отсутствуют выдуманные цены и сроки.</w:t>
            </w:r>
          </w:p>
        </w:tc>
      </w:tr>
      <w:tr>
        <w:trPr>
          <w:cantSplit/>
          <w:cantSplit/>
          <w:cantSplit/>
          <w:cantSplit/>
          <w:cantSplit/>
          <w:cantSplit/>
          <w:cantSplit/>
          <w:cantSplit/>
        </w:trPr>
        <w:tc>
          <w:tcPr>
            <w:tcW w:type="dxa" w:w="454"/>
          </w:tcPr>
          <w:p>
            <w:pPr>
              <w:spacing w:after="80" w:before="60"/>
            </w:pPr>
            <w:r>
              <w:rPr>
                <w:sz w:val="18"/>
              </w:rPr>
              <w:t>5</w:t>
            </w:r>
          </w:p>
        </w:tc>
        <w:tc>
          <w:tcPr>
            <w:tcW w:type="dxa" w:w="1757"/>
          </w:tcPr>
          <w:p>
            <w:pPr>
              <w:spacing w:after="80" w:before="60"/>
            </w:pPr>
            <w:r>
              <w:rPr>
                <w:sz w:val="18"/>
              </w:rPr>
              <w:t>Продажи</w:t>
            </w:r>
          </w:p>
        </w:tc>
        <w:tc>
          <w:tcPr>
            <w:tcW w:type="dxa" w:w="7654"/>
          </w:tcPr>
          <w:p>
            <w:pPr>
              <w:spacing w:after="80" w:before="60"/>
            </w:pPr>
            <w:r>
              <w:rPr>
                <w:sz w:val="18"/>
              </w:rPr>
              <w:t>Тестовый контакт сохранён в «Лиды» и фактически получен ответственным по выбранному каналу.</w:t>
            </w:r>
          </w:p>
        </w:tc>
      </w:tr>
      <w:tr>
        <w:trPr>
          <w:cantSplit/>
          <w:cantSplit/>
          <w:cantSplit/>
          <w:cantSplit/>
          <w:cantSplit/>
          <w:cantSplit/>
          <w:cantSplit/>
        </w:trPr>
        <w:tc>
          <w:tcPr>
            <w:tcW w:type="dxa" w:w="454"/>
          </w:tcPr>
          <w:p>
            <w:pPr>
              <w:spacing w:after="80" w:before="60"/>
            </w:pPr>
            <w:r>
              <w:rPr>
                <w:sz w:val="18"/>
              </w:rPr>
              <w:t>6</w:t>
            </w:r>
          </w:p>
        </w:tc>
        <w:tc>
          <w:tcPr>
            <w:tcW w:type="dxa" w:w="1757"/>
          </w:tcPr>
          <w:p>
            <w:pPr>
              <w:spacing w:after="80" w:before="60"/>
            </w:pPr>
            <w:r>
              <w:rPr>
                <w:sz w:val="18"/>
              </w:rPr>
              <w:t>Черновик</w:t>
            </w:r>
          </w:p>
        </w:tc>
        <w:tc>
          <w:tcPr>
            <w:tcW w:type="dxa" w:w="7654"/>
          </w:tcPr>
          <w:p>
            <w:pPr>
              <w:spacing w:after="80" w:before="60"/>
            </w:pPr>
            <w:r>
              <w:rPr>
                <w:sz w:val="18"/>
              </w:rPr>
              <w:t>В форму перенесён именно отредактированный текст; категория выбрана правильно, автоматической отправки нет.</w:t>
            </w:r>
          </w:p>
        </w:tc>
      </w:tr>
      <w:tr>
        <w:trPr>
          <w:cantSplit/>
          <w:cantSplit/>
          <w:cantSplit/>
          <w:cantSplit/>
          <w:cantSplit/>
          <w:cantSplit/>
        </w:trPr>
        <w:tc>
          <w:tcPr>
            <w:tcW w:type="dxa" w:w="454"/>
          </w:tcPr>
          <w:p>
            <w:pPr>
              <w:spacing w:after="80" w:before="60"/>
            </w:pPr>
            <w:r>
              <w:rPr>
                <w:sz w:val="18"/>
              </w:rPr>
              <w:t>7</w:t>
            </w:r>
          </w:p>
        </w:tc>
        <w:tc>
          <w:tcPr>
            <w:tcW w:type="dxa" w:w="1757"/>
          </w:tcPr>
          <w:p>
            <w:pPr>
              <w:spacing w:after="80" w:before="60"/>
            </w:pPr>
            <w:r>
              <w:rPr>
                <w:sz w:val="18"/>
              </w:rPr>
              <w:t>Имеющийся текст</w:t>
            </w:r>
          </w:p>
        </w:tc>
        <w:tc>
          <w:tcPr>
            <w:tcW w:type="dxa" w:w="7654"/>
          </w:tcPr>
          <w:p>
            <w:pPr>
              <w:spacing w:after="80" w:before="60"/>
            </w:pPr>
            <w:r>
              <w:rPr>
                <w:sz w:val="18"/>
              </w:rPr>
              <w:t>Объединение, замена и отмена работают по выбору пользователя; нет молчаливой потери текста или файлов.</w:t>
            </w:r>
          </w:p>
        </w:tc>
      </w:tr>
      <w:tr>
        <w:trPr>
          <w:cantSplit/>
          <w:cantSplit/>
          <w:cantSplit/>
          <w:cantSplit/>
          <w:cantSplit/>
        </w:trPr>
        <w:tc>
          <w:tcPr>
            <w:tcW w:type="dxa" w:w="454"/>
          </w:tcPr>
          <w:p>
            <w:pPr>
              <w:spacing w:after="80" w:before="60"/>
            </w:pPr>
            <w:r>
              <w:rPr>
                <w:sz w:val="18"/>
              </w:rPr>
              <w:t>8</w:t>
            </w:r>
          </w:p>
        </w:tc>
        <w:tc>
          <w:tcPr>
            <w:tcW w:type="dxa" w:w="1757"/>
          </w:tcPr>
          <w:p>
            <w:pPr>
              <w:spacing w:after="80" w:before="60"/>
            </w:pPr>
            <w:r>
              <w:rPr>
                <w:sz w:val="18"/>
              </w:rPr>
              <w:t>Контекст и файлы</w:t>
            </w:r>
          </w:p>
        </w:tc>
        <w:tc>
          <w:tcPr>
            <w:tcW w:type="dxa" w:w="7654"/>
          </w:tcPr>
          <w:p>
            <w:pPr>
              <w:spacing w:after="80" w:before="60"/>
            </w:pPr>
            <w:r>
              <w:rPr>
                <w:sz w:val="18"/>
              </w:rPr>
              <w:t>Сохраняются текущие пользователь, проект, контакты, вложения и штатная съёмка экрана.</w:t>
            </w:r>
          </w:p>
        </w:tc>
      </w:tr>
      <w:tr>
        <w:trPr>
          <w:cantSplit/>
          <w:cantSplit/>
          <w:cantSplit/>
          <w:cantSplit/>
        </w:trPr>
        <w:tc>
          <w:tcPr>
            <w:tcW w:type="dxa" w:w="454"/>
          </w:tcPr>
          <w:p>
            <w:pPr>
              <w:spacing w:after="80" w:before="60"/>
            </w:pPr>
            <w:r>
              <w:rPr>
                <w:sz w:val="18"/>
              </w:rPr>
              <w:t>9</w:t>
            </w:r>
          </w:p>
        </w:tc>
        <w:tc>
          <w:tcPr>
            <w:tcW w:type="dxa" w:w="1757"/>
          </w:tcPr>
          <w:p>
            <w:pPr>
              <w:spacing w:after="80" w:before="60"/>
            </w:pPr>
            <w:r>
              <w:rPr>
                <w:sz w:val="18"/>
              </w:rPr>
              <w:t>Отказ интеграции</w:t>
            </w:r>
          </w:p>
        </w:tc>
        <w:tc>
          <w:tcPr>
            <w:tcW w:type="dxa" w:w="7654"/>
          </w:tcPr>
          <w:p>
            <w:pPr>
              <w:spacing w:after="80" w:before="60"/>
            </w:pPr>
            <w:r>
              <w:rPr>
                <w:sz w:val="18"/>
              </w:rPr>
              <w:t>Нет обработчика, ошибка, false и таймаут дают копирование/прямой путь без ложного подтверждения.</w:t>
            </w:r>
          </w:p>
        </w:tc>
      </w:tr>
      <w:tr>
        <w:trPr>
          <w:cantSplit/>
          <w:cantSplit/>
          <w:cantSplit/>
        </w:trPr>
        <w:tc>
          <w:tcPr>
            <w:tcW w:type="dxa" w:w="454"/>
          </w:tcPr>
          <w:p>
            <w:pPr>
              <w:spacing w:after="80" w:before="60"/>
            </w:pPr>
            <w:r>
              <w:rPr>
                <w:sz w:val="18"/>
              </w:rPr>
              <w:t>10</w:t>
            </w:r>
          </w:p>
        </w:tc>
        <w:tc>
          <w:tcPr>
            <w:tcW w:type="dxa" w:w="1757"/>
          </w:tcPr>
          <w:p>
            <w:pPr>
              <w:spacing w:after="80" w:before="60"/>
            </w:pPr>
            <w:r>
              <w:rPr>
                <w:sz w:val="18"/>
              </w:rPr>
              <w:t>Недоступность сервисов</w:t>
            </w:r>
          </w:p>
        </w:tc>
        <w:tc>
          <w:tcPr>
            <w:tcW w:type="dxa" w:w="7654"/>
          </w:tcPr>
          <w:p>
            <w:pPr>
              <w:spacing w:after="80" w:before="60"/>
            </w:pPr>
            <w:r>
              <w:rPr>
                <w:sz w:val="18"/>
              </w:rPr>
              <w:t>Отказ модели, сети, bootstrap или companion не блокирует независимую штатную форму.</w:t>
            </w:r>
          </w:p>
        </w:tc>
      </w:tr>
      <w:tr>
        <w:trPr>
          <w:cantSplit/>
          <w:cantSplit/>
        </w:trPr>
        <w:tc>
          <w:tcPr>
            <w:tcW w:type="dxa" w:w="454"/>
          </w:tcPr>
          <w:p>
            <w:pPr>
              <w:spacing w:after="80" w:before="60"/>
            </w:pPr>
            <w:r>
              <w:rPr>
                <w:sz w:val="18"/>
              </w:rPr>
              <w:t>11</w:t>
            </w:r>
          </w:p>
        </w:tc>
        <w:tc>
          <w:tcPr>
            <w:tcW w:type="dxa" w:w="1757"/>
          </w:tcPr>
          <w:p>
            <w:pPr>
              <w:spacing w:after="80" w:before="60"/>
            </w:pPr>
            <w:r>
              <w:rPr>
                <w:sz w:val="18"/>
              </w:rPr>
              <w:t>Смена контекста</w:t>
            </w:r>
          </w:p>
        </w:tc>
        <w:tc>
          <w:tcPr>
            <w:tcW w:type="dxa" w:w="7654"/>
          </w:tcPr>
          <w:p>
            <w:pPr>
              <w:spacing w:after="80" w:before="60"/>
            </w:pPr>
            <w:r>
              <w:rPr>
                <w:sz w:val="18"/>
              </w:rPr>
              <w:t>Logout, смена пользователя/проекта и unmount отменяют старую передачу; поздний ответ не заполняет новую форму.</w:t>
            </w:r>
          </w:p>
        </w:tc>
      </w:tr>
      <w:tr>
        <w:trPr>
          <w:cantSplit/>
        </w:trPr>
        <w:tc>
          <w:tcPr>
            <w:tcW w:type="dxa" w:w="454"/>
          </w:tcPr>
          <w:p>
            <w:pPr>
              <w:spacing w:after="80" w:before="60"/>
            </w:pPr>
            <w:r>
              <w:rPr>
                <w:sz w:val="18"/>
              </w:rPr>
              <w:t>12</w:t>
            </w:r>
          </w:p>
        </w:tc>
        <w:tc>
          <w:tcPr>
            <w:tcW w:type="dxa" w:w="1757"/>
          </w:tcPr>
          <w:p>
            <w:pPr>
              <w:spacing w:after="80" w:before="60"/>
            </w:pPr>
            <w:r>
              <w:rPr>
                <w:sz w:val="18"/>
              </w:rPr>
              <w:t>Ручная отправка</w:t>
            </w:r>
          </w:p>
        </w:tc>
        <w:tc>
          <w:tcPr>
            <w:tcW w:type="dxa" w:w="7654"/>
          </w:tcPr>
          <w:p>
            <w:pPr>
              <w:spacing w:after="80" w:before="60"/>
            </w:pPr>
            <w:r>
              <w:rPr>
                <w:sz w:val="18"/>
              </w:rPr>
              <w:t>Helpdesk подтверждает тестовое обращение; специалист получает текст и вложения.</w:t>
            </w:r>
          </w:p>
        </w:tc>
      </w:tr>
    </w:tbl>
    <w:p>
      <w:pPr>
        <w:pStyle w:val="Heading1"/>
      </w:pPr>
      <w:r>
        <w:t>6. Фиксация приёмки и выпуск</w:t>
      </w:r>
    </w:p>
    <w:p>
      <w:pPr/>
      <w:r>
        <w:t>Для каждого пункта запишите окружение, результат, дату, проверяющего и ссылку на дефект при наличии. Отдельно подтвердите фактическое получение лида и обращения специалистом: учебная форма этого не доказывает.</w:t>
      </w:r>
    </w:p>
    <w:p>
      <w:pPr/>
      <w:r>
        <w:t>После устранения замечаний зафиксируйте версии сниппетов, origins, ответственных и решение о запуске. Только затем подключайте production. Для отката отключите интеграцию виджета и её listener, сохранив независимую штатную форму и ранее созданные обращения.</w:t>
      </w:r>
    </w:p>
    <w:p>
      <w:pPr>
        <w:pStyle w:val="Heading1"/>
      </w:pPr>
      <w:r>
        <w:t>7. Инструкции и пакет</w:t>
      </w:r>
    </w:p>
    <w:p>
      <w:pPr>
        <w:pStyle w:val="ListBullet"/>
      </w:pPr>
      <w:r>
        <w:t xml:space="preserve">Консультант сайта: </w:t>
      </w:r>
      <w:hyperlink r:id="rId10">
        <w:r>
          <w:rPr>
            <w:color w:val="23566C"/>
            <w:sz w:val="19"/>
          </w:rPr>
          <w:t>https://docs.iamgroup.ru/journeys/bot/website-consultant/</w:t>
        </w:r>
      </w:hyperlink>
      <w:r/>
    </w:p>
    <w:p>
      <w:pPr>
        <w:pStyle w:val="ListBullet"/>
      </w:pPr>
      <w:r>
        <w:t xml:space="preserve">Поддержка и контракт формы: </w:t>
      </w:r>
      <w:hyperlink r:id="rId11">
        <w:r>
          <w:rPr>
            <w:color w:val="23566C"/>
            <w:sz w:val="19"/>
          </w:rPr>
          <w:t>https://docs.iamgroup.ru/journeys/bot/support-form/</w:t>
        </w:r>
      </w:hyperlink>
      <w:r/>
    </w:p>
    <w:p>
      <w:pPr>
        <w:pStyle w:val="ListBullet"/>
      </w:pPr>
      <w:r>
        <w:t xml:space="preserve">Общая установка: </w:t>
      </w:r>
      <w:hyperlink r:id="rId12">
        <w:r>
          <w:rPr>
            <w:color w:val="23566C"/>
            <w:sz w:val="19"/>
          </w:rPr>
          <w:t>https://docs.iamgroup.ru/journeys/bot/embed/</w:t>
        </w:r>
      </w:hyperlink>
      <w:r/>
    </w:p>
    <w:p>
      <w:pPr>
        <w:pStyle w:val="ListBullet"/>
      </w:pPr>
      <w:r>
        <w:t xml:space="preserve">Пакет разработчика: </w:t>
      </w:r>
      <w:hyperlink r:id="rId13">
        <w:r>
          <w:rPr>
            <w:color w:val="23566C"/>
            <w:sz w:val="19"/>
          </w:rPr>
          <w:t>https://docs.iamgroup.ru/downloads/iambot-website-support-kit-20261015.zip</w:t>
        </w:r>
      </w:hyperlink>
      <w:r/>
    </w:p>
    <w:p>
      <w:pPr/>
      <w:r>
        <w:t>Инструкции универсальны. Название компании, домены, категория формы, адресаты и материалы задаются владельцем каждого проекта. Пример из пакета учебный и не отправляет обращения.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IAM.Bot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20485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20485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200"/>
      <w:contextualSpacing/>
    </w:pPr>
    <w:rPr>
      <w:rFonts w:asciiTheme="majorHAnsi" w:eastAsiaTheme="majorEastAsia" w:hAnsiTheme="majorHAnsi" w:cstheme="majorBidi" w:ascii="Arial" w:hAnsi="Arial"/>
      <w:color w:val="20485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00" w:line="240" w:lineRule="auto"/>
    </w:pPr>
    <w:rPr>
      <w:rFonts w:ascii="Arial" w:hAnsi="Arial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40" w:lineRule="auto"/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40" w:lineRule="auto"/>
      <w:contextualSpacing/>
    </w:pPr>
    <w:rPr>
      <w:rFonts w:ascii="Arial" w:hAnsi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docs.iamgroup.ru/journeys/bot/website-consultant/" TargetMode="External"/><Relationship Id="rId11" Type="http://schemas.openxmlformats.org/officeDocument/2006/relationships/hyperlink" Target="https://docs.iamgroup.ru/journeys/bot/support-form/" TargetMode="External"/><Relationship Id="rId12" Type="http://schemas.openxmlformats.org/officeDocument/2006/relationships/hyperlink" Target="https://docs.iamgroup.ru/journeys/bot/embed/" TargetMode="External"/><Relationship Id="rId13" Type="http://schemas.openxmlformats.org/officeDocument/2006/relationships/hyperlink" Target="https://docs.iamgroup.ru/downloads/iambot-website-support-kit-20261015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IAM.Bot: техническое приложение для сайта и портала</dc:title>
  <dc:subject>Подключение консультанта, формы поддержки и приёмка beta</dc:subject>
  <dc:creator>IAM.Bot</dc:creator>
  <cp:keywords>IAM.Bot; website; support; beta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